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9.3.19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bookmarkStart w:id="0" w:name="_GoBack"/>
      <w:bookmarkEnd w:id="0"/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F16672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 2024</w:t>
      </w:r>
      <w:r w:rsidR="00A16283">
        <w:rPr>
          <w:rFonts w:ascii="Times New Roman" w:hAnsi="Times New Roman"/>
          <w:i/>
          <w:sz w:val="24"/>
        </w:rPr>
        <w:t xml:space="preserve">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482B71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482B71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82B71" w:rsidTr="00482B71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482B71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82B71" w:rsidTr="00482B71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8B30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 (2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История </w:t>
            </w:r>
            <w:r w:rsidR="00D55C3F">
              <w:t>развития русского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Проблемы современного русского языка.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8131C7" w:rsidRPr="00257528" w:rsidRDefault="008131C7" w:rsidP="00257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в современном мире.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№3</w:t>
            </w:r>
          </w:p>
          <w:p w:rsidR="008131C7" w:rsidRPr="008131C7" w:rsidRDefault="008131C7" w:rsidP="008131C7">
            <w:pPr>
              <w:pStyle w:val="a7"/>
            </w:pPr>
            <w:r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  <w:rPr>
                <w:b/>
                <w:bCs/>
              </w:rPr>
            </w:pPr>
            <w:r w:rsidRPr="008131C7">
              <w:rPr>
                <w:b/>
                <w:bCs/>
              </w:rPr>
              <w:t>Самостоятельная работа обучающихся №4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color w:val="000000"/>
                <w:spacing w:val="-6"/>
              </w:rPr>
              <w:t>Выполнение</w:t>
            </w:r>
            <w:r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 2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 w:rsidRPr="008131C7">
              <w:rPr>
                <w:sz w:val="24"/>
                <w:szCs w:val="24"/>
              </w:rPr>
              <w:lastRenderedPageBreak/>
              <w:t>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№8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Выполнение конспекта: с.201-213, 240-270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/>
                <w:bCs/>
              </w:rPr>
              <w:t xml:space="preserve">Самостоятельная работа обучающихся №9 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t xml:space="preserve">Выполнение </w:t>
            </w:r>
            <w:r w:rsidRPr="008131C7">
              <w:rPr>
                <w:bCs/>
              </w:rPr>
              <w:t xml:space="preserve">упр.1-3 (с.204), 1-5 (с.213), </w:t>
            </w:r>
            <w:r w:rsidRPr="008131C7">
              <w:t xml:space="preserve">2 (с.210), 3 (с.272)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№5.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786C7D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1C7" w:rsidRDefault="008131C7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Pr="00167C65" w:rsidRDefault="00167C65" w:rsidP="00167C6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67C65">
        <w:rPr>
          <w:rFonts w:ascii="Times New Roman" w:hAnsi="Times New Roman" w:cs="Times New Roman"/>
          <w:b/>
          <w:sz w:val="24"/>
          <w:szCs w:val="24"/>
        </w:rPr>
        <w:t>2.2.2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7713"/>
        <w:gridCol w:w="1050"/>
        <w:gridCol w:w="2932"/>
      </w:tblGrid>
      <w:tr w:rsidR="00167C65" w:rsidRPr="00167C65" w:rsidTr="0091775A">
        <w:trPr>
          <w:trHeight w:val="20"/>
        </w:trPr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2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обусловленность возникновения и развития языка. Основные функции языка. Язык как знаковая система. Структура языка.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A3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сообщений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 xml:space="preserve">История </w:t>
            </w:r>
            <w:r>
              <w:t>развития русского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Проблемы современного русского языка.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167C65" w:rsidRPr="00167C65" w:rsidRDefault="00A351FD" w:rsidP="00A35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167C65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3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</w:t>
            </w:r>
            <w:r w:rsidRPr="00167C65">
              <w:rPr>
                <w:sz w:val="24"/>
                <w:szCs w:val="24"/>
              </w:rPr>
              <w:lastRenderedPageBreak/>
              <w:t>и синтаксические),   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67C65" w:rsidRPr="00167C65" w:rsidRDefault="00167C65" w:rsidP="00167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1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№3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упр.3-8 (с.71)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9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№4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color w:val="000000"/>
                <w:spacing w:val="-6"/>
              </w:rPr>
              <w:t xml:space="preserve">Выполнение </w:t>
            </w:r>
            <w:r w:rsidRPr="00167C65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Словообразование.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sz w:val="24"/>
                <w:szCs w:val="24"/>
              </w:rPr>
              <w:t>Практическое занятие № 1:</w:t>
            </w:r>
            <w:r w:rsidRPr="00167C65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конспекта: с.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2.5.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Синтаксис.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0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№8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68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Cs/>
              </w:rPr>
            </w:pPr>
            <w:r w:rsidRPr="00167C65">
              <w:rPr>
                <w:b/>
                <w:bCs/>
              </w:rPr>
              <w:t xml:space="preserve">Самостоятельная работа обучающихся №9 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t xml:space="preserve">Выполнение </w:t>
            </w:r>
            <w:r w:rsidRPr="00167C65">
              <w:rPr>
                <w:bCs/>
              </w:rPr>
              <w:t xml:space="preserve">упр.1-3 (с.204), 1-5 (с.213), </w:t>
            </w:r>
            <w:r w:rsidRPr="00167C65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9"/>
              <w:spacing w:after="0"/>
              <w:jc w:val="both"/>
              <w:rPr>
                <w:bCs/>
              </w:rPr>
            </w:pPr>
            <w:r w:rsidRPr="00167C65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усвоения - 2</w:t>
            </w:r>
          </w:p>
          <w:p w:rsidR="00167C65" w:rsidRPr="00167C65" w:rsidRDefault="009A3DAA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167C65"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,09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167C65">
              <w:rPr>
                <w:bCs/>
                <w:sz w:val="24"/>
                <w:szCs w:val="24"/>
              </w:rPr>
              <w:t xml:space="preserve"> «</w:t>
            </w:r>
            <w:r w:rsidRPr="00167C65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167C65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</w:t>
            </w:r>
            <w:r w:rsidRPr="00167C65">
              <w:rPr>
                <w:bCs/>
                <w:sz w:val="24"/>
                <w:szCs w:val="24"/>
              </w:rPr>
              <w:lastRenderedPageBreak/>
              <w:t>нормы современного русского языка. Ошибки в построении словосочетаний и предложений и их исправление.</w:t>
            </w:r>
            <w:r w:rsidRPr="00167C65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8E29F2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83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5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4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167C65" w:rsidRDefault="008131C7" w:rsidP="0016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1C7" w:rsidRPr="00167C6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https://sdo.stgt.site/ )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65" w:rsidRDefault="00651565" w:rsidP="00482B71">
      <w:pPr>
        <w:spacing w:after="0" w:line="240" w:lineRule="auto"/>
      </w:pPr>
      <w:r>
        <w:separator/>
      </w:r>
    </w:p>
  </w:endnote>
  <w:endnote w:type="continuationSeparator" w:id="0">
    <w:p w:rsidR="00651565" w:rsidRDefault="00651565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D5">
          <w:rPr>
            <w:noProof/>
          </w:rPr>
          <w:t>1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65" w:rsidRDefault="00651565" w:rsidP="00482B71">
      <w:pPr>
        <w:spacing w:after="0" w:line="240" w:lineRule="auto"/>
      </w:pPr>
      <w:r>
        <w:separator/>
      </w:r>
    </w:p>
  </w:footnote>
  <w:footnote w:type="continuationSeparator" w:id="0">
    <w:p w:rsidR="00651565" w:rsidRDefault="00651565" w:rsidP="0048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60E"/>
    <w:rsid w:val="00167C65"/>
    <w:rsid w:val="001D7AA3"/>
    <w:rsid w:val="0024181F"/>
    <w:rsid w:val="00257528"/>
    <w:rsid w:val="0025796A"/>
    <w:rsid w:val="002A3EC1"/>
    <w:rsid w:val="00401F08"/>
    <w:rsid w:val="00470A87"/>
    <w:rsid w:val="0047451E"/>
    <w:rsid w:val="00474F03"/>
    <w:rsid w:val="00482B71"/>
    <w:rsid w:val="004C060E"/>
    <w:rsid w:val="004C1FD9"/>
    <w:rsid w:val="004F6DED"/>
    <w:rsid w:val="005B226F"/>
    <w:rsid w:val="005E0893"/>
    <w:rsid w:val="005F7282"/>
    <w:rsid w:val="0060751D"/>
    <w:rsid w:val="00616C05"/>
    <w:rsid w:val="006438F9"/>
    <w:rsid w:val="00651565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70E8"/>
    <w:rsid w:val="00D671FF"/>
    <w:rsid w:val="00D7472D"/>
    <w:rsid w:val="00DA5D8F"/>
    <w:rsid w:val="00DD2DE8"/>
    <w:rsid w:val="00DE785D"/>
    <w:rsid w:val="00E00DD8"/>
    <w:rsid w:val="00E211EC"/>
    <w:rsid w:val="00E247BD"/>
    <w:rsid w:val="00E30123"/>
    <w:rsid w:val="00E45152"/>
    <w:rsid w:val="00E723D5"/>
    <w:rsid w:val="00E77B5B"/>
    <w:rsid w:val="00EB1C08"/>
    <w:rsid w:val="00EF01A2"/>
    <w:rsid w:val="00F12E40"/>
    <w:rsid w:val="00F142D4"/>
    <w:rsid w:val="00F16672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EA4F-B18F-4508-B0B1-7725F9B0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45418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65</cp:revision>
  <dcterms:created xsi:type="dcterms:W3CDTF">2003-12-31T23:34:00Z</dcterms:created>
  <dcterms:modified xsi:type="dcterms:W3CDTF">2024-04-23T11:44:00Z</dcterms:modified>
</cp:coreProperties>
</file>