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F" w:rsidRDefault="000B159F" w:rsidP="000B159F">
      <w:pPr>
        <w:spacing w:after="120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>
        <w:rPr>
          <w:b/>
          <w:sz w:val="28"/>
          <w:szCs w:val="28"/>
        </w:rPr>
        <w:t xml:space="preserve">риложение </w:t>
      </w:r>
      <w:r w:rsidR="00100289">
        <w:rPr>
          <w:b/>
          <w:caps/>
          <w:sz w:val="28"/>
          <w:szCs w:val="28"/>
        </w:rPr>
        <w:t>4</w:t>
      </w:r>
      <w:r w:rsidR="009C579A">
        <w:rPr>
          <w:b/>
          <w:caps/>
          <w:sz w:val="28"/>
          <w:szCs w:val="28"/>
        </w:rPr>
        <w:t>7</w:t>
      </w:r>
    </w:p>
    <w:p w:rsidR="000B159F" w:rsidRDefault="000B159F" w:rsidP="00427466">
      <w:pPr>
        <w:jc w:val="center"/>
        <w:rPr>
          <w:b/>
          <w:caps/>
          <w:sz w:val="28"/>
          <w:szCs w:val="28"/>
        </w:rPr>
      </w:pPr>
    </w:p>
    <w:p w:rsidR="000B159F" w:rsidRPr="008B595A" w:rsidRDefault="000B159F" w:rsidP="00427466">
      <w:pPr>
        <w:jc w:val="center"/>
        <w:rPr>
          <w:b/>
          <w:caps/>
          <w:sz w:val="28"/>
          <w:szCs w:val="28"/>
        </w:rPr>
      </w:pPr>
      <w:r w:rsidRPr="008B595A">
        <w:rPr>
          <w:b/>
          <w:caps/>
          <w:sz w:val="28"/>
          <w:szCs w:val="28"/>
        </w:rPr>
        <w:t xml:space="preserve">Вопросы для подготовки </w:t>
      </w:r>
      <w:r>
        <w:rPr>
          <w:b/>
          <w:caps/>
          <w:sz w:val="28"/>
          <w:szCs w:val="28"/>
        </w:rPr>
        <w:t>к дифференцированному зачету</w:t>
      </w:r>
    </w:p>
    <w:p w:rsidR="000B159F" w:rsidRPr="00921198" w:rsidRDefault="000B159F" w:rsidP="00427466">
      <w:pPr>
        <w:jc w:val="center"/>
        <w:rPr>
          <w:b/>
          <w:caps/>
          <w:sz w:val="28"/>
          <w:szCs w:val="28"/>
        </w:rPr>
      </w:pPr>
      <w:r w:rsidRPr="00921198">
        <w:rPr>
          <w:b/>
          <w:sz w:val="28"/>
          <w:szCs w:val="28"/>
        </w:rPr>
        <w:t xml:space="preserve">по дисциплине </w:t>
      </w:r>
      <w:r w:rsidR="009C579A">
        <w:rPr>
          <w:b/>
          <w:caps/>
          <w:sz w:val="28"/>
          <w:szCs w:val="28"/>
        </w:rPr>
        <w:t>ОП.09</w:t>
      </w:r>
      <w:r>
        <w:rPr>
          <w:b/>
          <w:caps/>
          <w:sz w:val="28"/>
          <w:szCs w:val="28"/>
        </w:rPr>
        <w:t xml:space="preserve">. </w:t>
      </w:r>
      <w:r w:rsidR="00427466" w:rsidRPr="00921198">
        <w:rPr>
          <w:b/>
          <w:sz w:val="28"/>
          <w:szCs w:val="28"/>
        </w:rPr>
        <w:t xml:space="preserve">Техническая эксплуатация </w:t>
      </w:r>
      <w:r w:rsidR="00427466">
        <w:rPr>
          <w:b/>
          <w:sz w:val="28"/>
          <w:szCs w:val="28"/>
        </w:rPr>
        <w:t xml:space="preserve">железных дорог </w:t>
      </w:r>
      <w:r w:rsidR="00427466" w:rsidRPr="00921198">
        <w:rPr>
          <w:b/>
          <w:sz w:val="28"/>
          <w:szCs w:val="28"/>
        </w:rPr>
        <w:t>и безопасность движения</w:t>
      </w:r>
    </w:p>
    <w:p w:rsidR="000B159F" w:rsidRDefault="000B159F" w:rsidP="00427466">
      <w:pPr>
        <w:jc w:val="center"/>
        <w:rPr>
          <w:b/>
          <w:sz w:val="28"/>
          <w:szCs w:val="28"/>
        </w:rPr>
      </w:pPr>
    </w:p>
    <w:p w:rsidR="000B159F" w:rsidRPr="00213064" w:rsidRDefault="000B159F" w:rsidP="00427466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Основные обязанности работников железнодорожного транспорта и их ответственность за движение поездов.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Порядок допуска к управлению локомотивом, сигналами, стрелками, аппаратами и другими устройствами, связанными с обеспечением безопасности движения поездов.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Ответственность работников железнодорожного транспорта за выполнение ПТЭ и инструкций.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Сооружения и устройства инфраструктуры железнодорожного транспорта общего пользования, железнодорожные пути </w:t>
      </w:r>
      <w:proofErr w:type="spellStart"/>
      <w:r w:rsidRPr="00213064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пользования и расположенные на них сооружения, устройства, механизмы и оборудование железнодорожного транспорта, требования, предъявляемые к их содержанию, правила приемки в постоянную эксплуатацию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Порядок проверки габаритов сооружений и устройств и устранения негабаритных мест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 ПТЭ к расстояниям между осями смежных железнодорожных путей на перегонах и железнодорожных станциях. 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Габариты погрузки, проверка правильности размещения грузов в пределах габаритов погрузки, габаритные ворота, виды негабаритности.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Техническая эксплуатация сооружений и устройств путевого хозяйства.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 к укладке стрелочных переводов. Марки крестовин стрелочных переводов, в том числе для пропуска пассажирских поездов.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Неисправности стрелочных переводов и глухих пересечений, при которых не допускается их эксплуатация.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Оборудование нецентрализованных стрелок контрольными стрелочными замками.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Виды и категории железнодорожных переездов, их устройство и оборудование, освещение, переездная сигнализация.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 к устройству примыкания или пересечения железнодорожных линий в одном уровне, устройства для предотвращения самопроизвольного выхода железнодорожного подвижного состава на железнодорожную станцию или перегон.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Устройство сплетений путей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Сооружения и устройства станционного хозяйства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Размещение на железнодорожных станциях восстановительных и пожарных поездов.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 ПТЭ к устройствам путевой автоматической и полуавтоматической блокировки на перегонах и железнодорожных станциях.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lastRenderedPageBreak/>
        <w:t xml:space="preserve">Устройства диспетчерского </w:t>
      </w:r>
      <w:proofErr w:type="gramStart"/>
      <w:r w:rsidRPr="0021306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13064">
        <w:rPr>
          <w:rFonts w:ascii="Times New Roman" w:hAnsi="Times New Roman"/>
          <w:sz w:val="28"/>
          <w:szCs w:val="28"/>
        </w:rPr>
        <w:t xml:space="preserve"> движением поездов на участках, оборудованных автоблокировкой.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 ПТЭ к электрической централизации стрелок и светофоров, приводам и </w:t>
      </w:r>
      <w:proofErr w:type="spellStart"/>
      <w:r w:rsidRPr="00213064">
        <w:rPr>
          <w:rFonts w:ascii="Times New Roman" w:hAnsi="Times New Roman"/>
          <w:sz w:val="28"/>
          <w:szCs w:val="28"/>
        </w:rPr>
        <w:t>замыкателям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централизованных стрелок</w:t>
      </w:r>
      <w:r>
        <w:rPr>
          <w:rFonts w:ascii="Times New Roman" w:hAnsi="Times New Roman"/>
          <w:sz w:val="28"/>
          <w:szCs w:val="28"/>
        </w:rPr>
        <w:t>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Требования ПТЭ к устройствам диспетчерской централизации и устройствам телеуправления стрелками и светофорами прилегающих железнодорожных станций.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Требования ПТЭ к путевым устройствам автоматической локомотивной сигнализации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Требования ПТЭ к устройствам ключевой зависимости стрелок и сигналов, станционной блокировке.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Порядок пользования поездной диспетчерской и поездной межстанционной технологической электросвязью.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Поездная и станционная радиосвязь, оборудование ее системой автоматизированной регистрации переговоров; устройства двусторонней парковой связи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Требования ПТЭ к устройствам технологического электроснабжения железнодорожного транспорта, защита подземных металлических сооружений от электрической коррозии, заземление металлических конструкций и предохранительные сооружения на путепроводах и пешеходных мостах, расположенных над электрифицированными железнодорожными путями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Оформление записей в Журнале осмотра путей, стрелочных переводов, устройств СЦБ, связи и контактной сети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Сигналы на железнодорожном транспорте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Виды светофоров, их назначение, место установки, обозначения, значение подаваемых ими сигналов.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Входные и маршрутные светофоры: место установки, подаваемые сигналы, в том числе при приеме с неправильного пути, на боковые железнодорожные пути со стрелочными переводами пологих марок; случаи применения сигналов “зеленый мигающий огонь”, “ три желтых огня”.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Выходные светофоры: место установки, подаваемые сигналы на участках с автоблокировкой и полуавтоматической блокировкой, на участках, оборудованных автоматической локомотивной сигнализацией (АЛС) как самостоятельным средством сигнализации и связи; применение маршрутного указателя и сигналов “три зеленых огня”, “один желтый мигающий и один лунно-белый огонь”.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Порядок отправления поездов на ответвление, не оборудованное путевой блокировкой.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Пригласительный сигнал.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Проходные светофоры: показания на участках, оборудованных автоблокировкой, полуавтоматической блокировкой; показания проходных, входных, маршрутных и выходных светофоров на участках, оборудованных четырехзначной сигнализацией, применение и показания </w:t>
      </w:r>
      <w:proofErr w:type="spellStart"/>
      <w:r w:rsidRPr="00213064">
        <w:rPr>
          <w:rFonts w:ascii="Times New Roman" w:hAnsi="Times New Roman"/>
          <w:sz w:val="28"/>
          <w:szCs w:val="28"/>
        </w:rPr>
        <w:t>предвходных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светофоров; применение дополнительных указателей на светофорах, ограничивающих блок-участок длиной меньше тормозного пути.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lastRenderedPageBreak/>
        <w:t xml:space="preserve">Светофоры - прикрытия и заградительные, предупредительные и повторительные.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Локомотивные светофоры: показания на участках, оборудованных автоблокировкой и АЛС; на участках, где АЛС применяется как самостоятельное средство сигнализации и связи.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Светофоры на железнодорожных путях </w:t>
      </w:r>
      <w:proofErr w:type="spellStart"/>
      <w:r w:rsidRPr="00213064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пользования: въездные (выездные), технологические. Обозначение недействующих светофоров.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Сигналы ограждения на железнодорожном транспорте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Ограждение мест препятствий для движения поездов и мест производства работ на перегонах.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Схемы ограждения на железнодорожных путях общего пользования, однопутном участке, на одном из железнодорожных путей или на обоих железнодорожных путях </w:t>
      </w:r>
      <w:proofErr w:type="spellStart"/>
      <w:r w:rsidRPr="00213064">
        <w:rPr>
          <w:rFonts w:ascii="Times New Roman" w:hAnsi="Times New Roman"/>
          <w:sz w:val="28"/>
          <w:szCs w:val="28"/>
        </w:rPr>
        <w:t>двухпутного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участка, на перегоне вблизи железнодорожной станции, на железнодорожных путях </w:t>
      </w:r>
      <w:proofErr w:type="spellStart"/>
      <w:r w:rsidRPr="00213064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пользования.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 к одежде сигналистов, охраняющих петарды и переносные сигналы.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Порядок ограждения мест, через которые поезда могут проходить только с проводником; ме</w:t>
      </w:r>
      <w:proofErr w:type="gramStart"/>
      <w:r w:rsidRPr="00213064">
        <w:rPr>
          <w:rFonts w:ascii="Times New Roman" w:hAnsi="Times New Roman"/>
          <w:sz w:val="28"/>
          <w:szCs w:val="28"/>
        </w:rPr>
        <w:t>ст спл</w:t>
      </w:r>
      <w:proofErr w:type="gramEnd"/>
      <w:r w:rsidRPr="00213064">
        <w:rPr>
          <w:rFonts w:ascii="Times New Roman" w:hAnsi="Times New Roman"/>
          <w:sz w:val="28"/>
          <w:szCs w:val="28"/>
        </w:rPr>
        <w:t xml:space="preserve">етения железнодорожных путей.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Порядок ограждения мест производства работ на железнодорожном пути переносным сигнальным знаком “С”- подача свистка.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Ограждение мест препятствий для движения поездов и мест производства работ на железнодорожных станциях: установка стрелок, их запирание или зашивание костылями, установка переносных сигналов на железнодорожном пути, на стрелочном переводе, вблизи стрелочного перевода, на входной стрелке, между входной стрелкой и входным сигналом.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Ограждение мест, требующих уменьшения скорости на главных и на станционных железнодорожных путях.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Ограждение железнодорожного подвижного состава на станционных железнодорожных путях.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Ограждение поезда при вынужденной остановке на перегоне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Требования, предъявляемые к ручным сигналам при приеме, пропуске, отправлении поездов, при опробовании автотормозов; должностные лица, в обязанность которых вменяется подача сигналов.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Указатели: маршрутные, стрелочные, устрой</w:t>
      </w:r>
      <w:proofErr w:type="gramStart"/>
      <w:r w:rsidRPr="00213064">
        <w:rPr>
          <w:rFonts w:ascii="Times New Roman" w:hAnsi="Times New Roman"/>
          <w:sz w:val="28"/>
          <w:szCs w:val="28"/>
        </w:rPr>
        <w:t>ств сбр</w:t>
      </w:r>
      <w:proofErr w:type="gramEnd"/>
      <w:r w:rsidRPr="00213064">
        <w:rPr>
          <w:rFonts w:ascii="Times New Roman" w:hAnsi="Times New Roman"/>
          <w:sz w:val="28"/>
          <w:szCs w:val="28"/>
        </w:rPr>
        <w:t>асывания и путевого заграждения и прочие; показания и место установки. Постоянные и временные сигнальные знаки, их назначение и места установки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Показания и значения сигналов, подаваемых маневровыми и горочными светофорами.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Ручные и звуковые сигналы, подаваемые при маневрах.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Сигналы, применяемые для обозначения грузовых и пассажирских поездов, локомотивов, снегоочистителей, съемных подвижных единиц, специализированных поездов (вертушек) на железнодорожных путях </w:t>
      </w:r>
      <w:proofErr w:type="spellStart"/>
      <w:r w:rsidRPr="00213064">
        <w:rPr>
          <w:rFonts w:ascii="Times New Roman" w:hAnsi="Times New Roman"/>
          <w:sz w:val="28"/>
          <w:szCs w:val="28"/>
        </w:rPr>
        <w:t>необщего</w:t>
      </w:r>
      <w:proofErr w:type="spellEnd"/>
      <w:r w:rsidRPr="00213064">
        <w:rPr>
          <w:rFonts w:ascii="Times New Roman" w:hAnsi="Times New Roman"/>
          <w:sz w:val="28"/>
          <w:szCs w:val="28"/>
        </w:rPr>
        <w:t xml:space="preserve"> пользования.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Звуковые сигналы, применяемые при движении поездов.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 xml:space="preserve">Оповестительный сигнал, сигнал бдительности. 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lastRenderedPageBreak/>
        <w:t>Сигналы тревоги и специальные указатели. Действия работников при подаче сигналов тревоги</w:t>
      </w:r>
    </w:p>
    <w:p w:rsidR="000B159F" w:rsidRPr="00213064" w:rsidRDefault="000B159F" w:rsidP="000B159F">
      <w:pPr>
        <w:pStyle w:val="a3"/>
        <w:numPr>
          <w:ilvl w:val="0"/>
          <w:numId w:val="1"/>
        </w:numPr>
        <w:tabs>
          <w:tab w:val="clear" w:pos="702"/>
          <w:tab w:val="num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3064">
        <w:rPr>
          <w:rFonts w:ascii="Times New Roman" w:hAnsi="Times New Roman"/>
          <w:sz w:val="28"/>
          <w:szCs w:val="28"/>
        </w:rPr>
        <w:t>Общие требования к железнодорожному подвижному составу и специальному самоходному подвижному составу</w:t>
      </w:r>
    </w:p>
    <w:p w:rsidR="000455B5" w:rsidRDefault="000B159F">
      <w:r>
        <w:t xml:space="preserve"> </w:t>
      </w:r>
    </w:p>
    <w:sectPr w:rsidR="000455B5" w:rsidSect="004274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693"/>
    <w:multiLevelType w:val="hybridMultilevel"/>
    <w:tmpl w:val="CDE8D2E6"/>
    <w:lvl w:ilvl="0" w:tplc="438E355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159F"/>
    <w:rsid w:val="000B159F"/>
    <w:rsid w:val="00100289"/>
    <w:rsid w:val="0041236E"/>
    <w:rsid w:val="00427466"/>
    <w:rsid w:val="00596E4E"/>
    <w:rsid w:val="0061028D"/>
    <w:rsid w:val="006338ED"/>
    <w:rsid w:val="007533F6"/>
    <w:rsid w:val="009C579A"/>
    <w:rsid w:val="00A868CE"/>
    <w:rsid w:val="00B92A1E"/>
    <w:rsid w:val="00C23BE4"/>
    <w:rsid w:val="00CC5BE1"/>
    <w:rsid w:val="00CE2993"/>
    <w:rsid w:val="00DC432B"/>
    <w:rsid w:val="00E365C9"/>
    <w:rsid w:val="00E6613D"/>
    <w:rsid w:val="00F5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6187</Characters>
  <Application>Microsoft Office Word</Application>
  <DocSecurity>0</DocSecurity>
  <Lines>51</Lines>
  <Paragraphs>14</Paragraphs>
  <ScaleCrop>false</ScaleCrop>
  <Company>Microsoft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КононоваИВ</dc:creator>
  <cp:lastModifiedBy>РыловИВ</cp:lastModifiedBy>
  <cp:revision>10</cp:revision>
  <dcterms:created xsi:type="dcterms:W3CDTF">2018-02-20T13:57:00Z</dcterms:created>
  <dcterms:modified xsi:type="dcterms:W3CDTF">2022-03-30T09:09:00Z</dcterms:modified>
</cp:coreProperties>
</file>